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EF" w:rsidRPr="00CE70EF" w:rsidRDefault="0074210D" w:rsidP="00FF31AC">
      <w:pPr>
        <w:shd w:val="clear" w:color="auto" w:fill="FFFFFF"/>
        <w:spacing w:after="100" w:afterAutospacing="1" w:line="276" w:lineRule="auto"/>
        <w:ind w:right="48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1.</w:t>
      </w:r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დასახელება</w:t>
      </w:r>
      <w:proofErr w:type="spellEnd"/>
    </w:p>
    <w:p w:rsidR="008C4CEF" w:rsidRPr="00CE70EF" w:rsidRDefault="008C4CEF" w:rsidP="00FF31AC">
      <w:pPr>
        <w:shd w:val="clear" w:color="auto" w:fill="FFFFFF"/>
        <w:spacing w:after="272" w:line="276" w:lineRule="auto"/>
        <w:jc w:val="both"/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შპს</w:t>
      </w:r>
      <w:proofErr w:type="spellEnd"/>
      <w:proofErr w:type="gramEnd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,,</w:t>
      </w:r>
      <w:proofErr w:type="spellStart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საქსპეცტრანსი</w:t>
      </w:r>
      <w:proofErr w:type="spellEnd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“  </w:t>
      </w:r>
      <w:proofErr w:type="spellStart"/>
      <w:r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აცხადებს</w:t>
      </w:r>
      <w:proofErr w:type="spellEnd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ფასთა</w:t>
      </w:r>
      <w:proofErr w:type="spellEnd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გამოკითხვას</w:t>
      </w:r>
      <w:proofErr w:type="spellEnd"/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ქ.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თბილისი, მასივი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 xml:space="preserve">III,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საცხენისის </w:t>
      </w:r>
      <w:proofErr w:type="spellStart"/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ქ.N</w:t>
      </w:r>
      <w:proofErr w:type="spellEnd"/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20-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ში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მდებარე ობიექტის ს/კ </w:t>
      </w:r>
      <w:r w:rsidR="008372A8" w:rsidRPr="00CE70EF">
        <w:rPr>
          <w:rFonts w:ascii="Sylfaen" w:hAnsi="Sylfaen"/>
          <w:color w:val="000000" w:themeColor="text1"/>
          <w:sz w:val="20"/>
          <w:szCs w:val="20"/>
          <w:lang w:val="ka-GE"/>
        </w:rPr>
        <w:t>01.19.20.27.006</w:t>
      </w: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დემონტაჟისთვის საჭირო სამუშაოების შესყიდვის მიზნით</w:t>
      </w:r>
      <w:r w:rsidR="0087170E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. </w:t>
      </w:r>
      <w:r w:rsidR="0087170E" w:rsidRPr="00CE70EF"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  <w:t xml:space="preserve">დემონტაჟის </w:t>
      </w:r>
      <w:r w:rsidR="00CC6809" w:rsidRPr="00CE70EF"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  <w:t xml:space="preserve">შემდეგ სრულად უნდა მოსწორდეს მიწის ზედაპირი, ამოივსოს </w:t>
      </w:r>
      <w:proofErr w:type="spellStart"/>
      <w:r w:rsidR="00CC6809" w:rsidRPr="00CE70EF"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  <w:t>ორმულები</w:t>
      </w:r>
      <w:proofErr w:type="spellEnd"/>
      <w:r w:rsidR="00CC6809" w:rsidRPr="00CE70EF"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  <w:t xml:space="preserve"> და ბოლომდე გასუფთავდეს ტერ</w:t>
      </w:r>
      <w:r w:rsidR="008372A8" w:rsidRPr="00CE70EF">
        <w:rPr>
          <w:rFonts w:ascii="Sylfaen" w:eastAsia="Times New Roman" w:hAnsi="Sylfaen" w:cs="Sylfaen"/>
          <w:b/>
          <w:i/>
          <w:color w:val="000000" w:themeColor="text1"/>
          <w:sz w:val="20"/>
          <w:szCs w:val="20"/>
          <w:lang w:val="ka-GE"/>
        </w:rPr>
        <w:t>იტორია სამშენებლო ნარჩენებისგან.</w:t>
      </w:r>
    </w:p>
    <w:p w:rsidR="008C4CEF" w:rsidRPr="00CE70EF" w:rsidRDefault="008C4CEF" w:rsidP="00FF31AC">
      <w:pPr>
        <w:shd w:val="clear" w:color="auto" w:fill="FFFFFF"/>
        <w:spacing w:after="100" w:afterAutospacing="1" w:line="276" w:lineRule="auto"/>
        <w:ind w:left="270" w:right="-8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2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.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პარამეტრები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აღწერა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(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დავალება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),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შესყიდვის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ობიექტის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რაოდენობა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მოცულობა</w:t>
      </w:r>
      <w:proofErr w:type="spellEnd"/>
    </w:p>
    <w:p w:rsidR="00201D50" w:rsidRPr="00CE70EF" w:rsidRDefault="008C4CEF" w:rsidP="00201D50">
      <w:pPr>
        <w:spacing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უნდა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განხორციელდეს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შემსყიდველის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მიერ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წარმოდგენილი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საპროექტო</w:t>
      </w:r>
      <w:proofErr w:type="spellEnd"/>
      <w:r w:rsidR="0087170E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დოკუმენტაციის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87170E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შ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ესაბამისად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(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იხ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მიბმული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ფაილ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(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ებ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)ი)</w:t>
      </w:r>
      <w:r w:rsidR="00F11CE7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. </w:t>
      </w:r>
    </w:p>
    <w:p w:rsidR="00F11CE7" w:rsidRPr="00CE70EF" w:rsidRDefault="00F11CE7" w:rsidP="00201D50">
      <w:pPr>
        <w:spacing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მიერ შერჩეულმა პირმა უნდა უზრუნველყოს მეორადი სამშენებლო მასალების და სამშენებლო ნარჩენების ტერიტორიიდან გატანა არსებული ნორმებისა და წესის შესაბამისად,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სადემონტაჟო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სამუშაოების დასრულებიდან არაუგვიანეს 7 კალენდარული დღისა;</w:t>
      </w:r>
    </w:p>
    <w:p w:rsidR="00201D50" w:rsidRPr="00CE70EF" w:rsidRDefault="00201D50" w:rsidP="00201D50">
      <w:pPr>
        <w:pStyle w:val="ListParagraph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 პირობას</w:t>
      </w:r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წარმოადგენს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სადემონტაჟო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სამუშაოების განმხორციელებელი პირის მიერ სამშენებლო მასალების, იმ ოდენობით და ღირებულებით შესყიდვა, როგორც მოცემულია, თანდართული აუდიტორული კომპანია შპს ,,საკონსულტაციო ჯგუფი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>კავკასაუდიტი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“-ს დასკვნებში, მიუხედავად იმისა, რომ დემონტაჟის შედეგად მეორადი მასალების რაოდენობა შესაძლოა აღმოჩნდეს განსხვავებული. </w:t>
      </w:r>
    </w:p>
    <w:p w:rsidR="00201D50" w:rsidRPr="00CE70EF" w:rsidRDefault="00201D50" w:rsidP="00201D50">
      <w:pPr>
        <w:pStyle w:val="ListParagraph"/>
        <w:ind w:left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შესაბამისად შემოთავაზებულ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სადემონტაჟო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სამუშაოების ღირებულებას გამოაკლდება მეორადი სამშენებლო მასალების ღირებულება.</w:t>
      </w:r>
    </w:p>
    <w:p w:rsidR="008C4CEF" w:rsidRPr="00CE70EF" w:rsidRDefault="008C4CEF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8C4CEF" w:rsidRPr="00CE70EF" w:rsidRDefault="008C4CEF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3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ფასების</w:t>
      </w:r>
      <w:proofErr w:type="spellEnd"/>
      <w:proofErr w:type="gram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ცხრილი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ხარჯთაღრიცხვა</w:t>
      </w:r>
      <w:proofErr w:type="spellEnd"/>
    </w:p>
    <w:p w:rsidR="008C4CEF" w:rsidRPr="00CE70EF" w:rsidRDefault="008C4CEF" w:rsidP="00FF31AC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პრეტენდენტმა ადგილზე დათვალიერების შედეგად უნდა წარმოადგინოს მოქმედი ნორმატივების მიხედვით შედგენილ</w:t>
      </w:r>
      <w:r w:rsidR="00EC5939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ი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r w:rsidR="00EC5939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რესურსული 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ხარჯთაღრიცხვა.</w:t>
      </w:r>
    </w:p>
    <w:p w:rsidR="00201D50" w:rsidRPr="00CE70EF" w:rsidRDefault="00201D50" w:rsidP="00201D50">
      <w:pPr>
        <w:shd w:val="clear" w:color="auto" w:fill="FFFFFF"/>
        <w:tabs>
          <w:tab w:val="left" w:pos="0"/>
        </w:tabs>
        <w:spacing w:after="0" w:line="276" w:lineRule="auto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8C4CEF" w:rsidRPr="00CE70EF" w:rsidRDefault="008C4CEF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4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გაწევის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ვადა</w:t>
      </w:r>
      <w:proofErr w:type="spellEnd"/>
    </w:p>
    <w:p w:rsidR="00EC5939" w:rsidRPr="00CE70EF" w:rsidRDefault="008C4CEF" w:rsidP="00731E2F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ვადაა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F11CE7"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ძალაში შესვლიდან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8372A8"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6 თვე; </w:t>
      </w:r>
    </w:p>
    <w:p w:rsidR="00731E2F" w:rsidRPr="00CE70EF" w:rsidRDefault="00EC5939" w:rsidP="00731E2F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სამუშაოების დაწყების ვადა - ხელშეკრულების გაფორმებიდან 3 სამუშაო დღე;</w:t>
      </w:r>
    </w:p>
    <w:p w:rsidR="00674336" w:rsidRPr="00CE70EF" w:rsidRDefault="008C4CEF" w:rsidP="00731E2F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პრეტენდენტმა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სატენდერო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წინადადების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წარდგენისას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ხარჯთაღრიცხვასთან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ერთად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უნდა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r w:rsidR="00EC5939"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წარმოადგინოს</w:t>
      </w:r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შესასრულებელი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კალენდარული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თანხობრივი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გეგმა-გრაფიკი</w:t>
      </w:r>
      <w:proofErr w:type="spellEnd"/>
      <w:r w:rsidR="00EC5939" w:rsidRPr="00CE70EF">
        <w:rPr>
          <w:rFonts w:ascii="Sylfaen" w:hAnsi="Sylfaen" w:cs="DejaVu Sans"/>
          <w:color w:val="000000" w:themeColor="text1"/>
          <w:sz w:val="20"/>
          <w:szCs w:val="20"/>
        </w:rPr>
        <w:t>;</w:t>
      </w:r>
    </w:p>
    <w:p w:rsidR="008C4CEF" w:rsidRPr="00CE70EF" w:rsidRDefault="008C4CEF" w:rsidP="00731E2F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ვალდებულია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აწარმოოს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კალენდარული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გეგმა-გრაფიკის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შესაბამისად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201D50" w:rsidRPr="00CE70EF" w:rsidRDefault="00201D50" w:rsidP="00731E2F">
      <w:pPr>
        <w:shd w:val="clear" w:color="auto" w:fill="FFFFFF"/>
        <w:spacing w:after="0" w:line="276" w:lineRule="auto"/>
        <w:ind w:left="540" w:hanging="54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8C4CEF" w:rsidRPr="00CE70EF" w:rsidRDefault="008C4CEF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5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.</w:t>
      </w: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საქონლის</w:t>
      </w:r>
      <w:proofErr w:type="spellEnd"/>
      <w:proofErr w:type="gram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მიწოდების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მომსახურების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გაწევის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/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ფორმა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ადგილი</w:t>
      </w:r>
      <w:proofErr w:type="spellEnd"/>
    </w:p>
    <w:p w:rsidR="00674336" w:rsidRPr="00CE70EF" w:rsidRDefault="00731E2F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1.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ვალდებულია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შეასრულოს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კანონმდებლობით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შესაბამისი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გარემოსდაცვითი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ნორმებისა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წესების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დაცვით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საპროექტო-სახარჯთაღრიცხვო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დოკუმენტაციის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შესაბამისად</w:t>
      </w:r>
      <w:proofErr w:type="spellEnd"/>
      <w:r w:rsidR="008C4CEF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  <w:r w:rsidR="00674336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</w:p>
    <w:p w:rsidR="008C4CEF" w:rsidRPr="00CE70EF" w:rsidRDefault="008C4CEF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2. </w:t>
      </w:r>
      <w:r w:rsidR="00FF31AC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ადგილია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: </w:t>
      </w:r>
      <w:r w:rsidR="008372A8" w:rsidRPr="00CE70EF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ქ. თბილისი, მასივი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 xml:space="preserve">III,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საცხენისის ქ. N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</w:rPr>
        <w:t>20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 ს/კ 01.19.20.027.006.</w:t>
      </w:r>
    </w:p>
    <w:p w:rsidR="00201D50" w:rsidRPr="00CE70EF" w:rsidRDefault="00201D50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</w:p>
    <w:p w:rsidR="00FF31AC" w:rsidRPr="00CE70EF" w:rsidRDefault="00FF31AC" w:rsidP="00201D50">
      <w:pPr>
        <w:shd w:val="clear" w:color="auto" w:fill="FFFFFF"/>
        <w:spacing w:after="100" w:afterAutospacing="1" w:line="276" w:lineRule="auto"/>
        <w:ind w:left="270" w:right="48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</w:p>
    <w:p w:rsidR="008C4CEF" w:rsidRPr="00CE70EF" w:rsidRDefault="0074210D" w:rsidP="00201D50">
      <w:pPr>
        <w:shd w:val="clear" w:color="auto" w:fill="FFFFFF"/>
        <w:spacing w:after="100" w:afterAutospacing="1" w:line="276" w:lineRule="auto"/>
        <w:ind w:left="270" w:right="48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lastRenderedPageBreak/>
        <w:t>6.</w:t>
      </w:r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მოთხოვნა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ლიცენზიასთან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აკრედიტაციასთან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სტანდარტებთან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,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ხარისხის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შესაბამისობასთან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სხვ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დოკუმენტების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შესახებ</w:t>
      </w:r>
      <w:proofErr w:type="spellEnd"/>
    </w:p>
    <w:p w:rsidR="008C4CEF" w:rsidRPr="00CE70EF" w:rsidRDefault="008C4CEF" w:rsidP="00201D50">
      <w:pPr>
        <w:shd w:val="clear" w:color="auto" w:fill="FFFFFF"/>
        <w:spacing w:after="0" w:line="276" w:lineRule="auto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მუშაობის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პროცესში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ვალდებულია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შეასრულოს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მოქმედი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ნორმებისა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წესების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მიხედვით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პროცესში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ყველა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გამოყენებული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მასალა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მოწყობილობა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უნდა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იყოს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ხარისხიანი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აკმაყოფილებდეს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პროექტის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მოთხოვნებს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მოქმედ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ყველა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ნორმასა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სტანდარტს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</w:p>
    <w:p w:rsidR="0074210D" w:rsidRPr="00CE70EF" w:rsidRDefault="0074210D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</w:p>
    <w:p w:rsidR="008C4CEF" w:rsidRPr="00CE70EF" w:rsidRDefault="0074210D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7. </w:t>
      </w:r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სხვა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დამატებითი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მოთხოვნები</w:t>
      </w:r>
      <w:proofErr w:type="spellEnd"/>
    </w:p>
    <w:p w:rsidR="00674336" w:rsidRPr="00CE70EF" w:rsidRDefault="00CC6809" w:rsidP="00201D50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მ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იმწოდებელმა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ობიექტზე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დაწყებამდე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უნდა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განათავსოს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საინფორმაციო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დაფა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ზომით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არანაკლებ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1მX1მ; (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მთავრობის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2009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წლის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24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მარტის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#57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დადგენილება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) (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საინფორმაციო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დაფაზე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დასატანი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ინფორმაცია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შემსყიდველთან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შეთანხმებით</w:t>
      </w:r>
      <w:proofErr w:type="spellEnd"/>
      <w:r w:rsidR="008C4CEF" w:rsidRPr="00CE70EF">
        <w:rPr>
          <w:rFonts w:ascii="Sylfaen" w:hAnsi="Sylfaen" w:cs="DejaVu Sans"/>
          <w:color w:val="000000" w:themeColor="text1"/>
          <w:sz w:val="20"/>
          <w:szCs w:val="20"/>
        </w:rPr>
        <w:t>)</w:t>
      </w:r>
      <w:r w:rsidR="00674336"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.</w:t>
      </w:r>
    </w:p>
    <w:p w:rsidR="00674336" w:rsidRPr="00CE70EF" w:rsidRDefault="008C4CEF" w:rsidP="00201D50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ყველა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განხორციელება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მოხდეს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მთავრობის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2014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წლის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27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მაისის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N361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დადგენილების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„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მშენებლობის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უსაფრთხოების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შესახებ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რეგლამენტის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დამტკიცების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თაობაზე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“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მთავრობის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2014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წლის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14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იანვრის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N55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დადგენილებით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დამტკიცებული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ტექნიკური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რეგლამენტის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- ,,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სამშენებლო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სახელმწიფო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შესყიდვისას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ზედნადები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ხარჯებისა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გეგმური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მოგების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განსაზღვრის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წესის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“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მოთხოვნათა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გათვალისწინებით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8372A8" w:rsidRPr="00CE70EF" w:rsidRDefault="008372A8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674336" w:rsidRPr="00CE70EF" w:rsidRDefault="0074210D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8. </w:t>
      </w:r>
      <w:r w:rsidR="00F11CE7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სამუშაოთა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საბოლოო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მიღება</w:t>
      </w:r>
      <w:proofErr w:type="spellEnd"/>
    </w:p>
    <w:p w:rsidR="008C4CEF" w:rsidRPr="00CE70EF" w:rsidRDefault="008C4CEF" w:rsidP="00201D50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rFonts w:ascii="Sylfaen" w:hAnsi="Sylfaen" w:cs="DejaVu Sans"/>
          <w:color w:val="000000" w:themeColor="text1"/>
          <w:sz w:val="20"/>
          <w:szCs w:val="20"/>
        </w:rPr>
      </w:pPr>
      <w:proofErr w:type="spellStart"/>
      <w:proofErr w:type="gram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მიმწოდებელი</w:t>
      </w:r>
      <w:proofErr w:type="spellEnd"/>
      <w:proofErr w:type="gram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ატყობინებს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სამუშაოთა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დასრულების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შესახებ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თანახმად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მიმწოდებლის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მიერ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დადგენილი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ვადისა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შემსყიდველი</w:t>
      </w:r>
      <w:proofErr w:type="spellEnd"/>
      <w:proofErr w:type="gram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ამოწმებს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შესრულებულ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სამუშაოებს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თუ</w:t>
      </w:r>
      <w:proofErr w:type="spellEnd"/>
      <w:proofErr w:type="gram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შემსყიდველმა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სამუშაოები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შეაფასა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წუნით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სამუშოები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დასრულებულად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ჩაითვლება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დეფექტების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აღმოფხვრის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DejaVu Sans"/>
          <w:color w:val="000000" w:themeColor="text1"/>
          <w:sz w:val="20"/>
          <w:szCs w:val="20"/>
        </w:rPr>
        <w:t>შემდეგ</w:t>
      </w:r>
      <w:proofErr w:type="spellEnd"/>
      <w:r w:rsidRPr="00CE70EF">
        <w:rPr>
          <w:rFonts w:ascii="Sylfaen" w:hAnsi="Sylfaen" w:cs="DejaVu Sans"/>
          <w:color w:val="000000" w:themeColor="text1"/>
          <w:sz w:val="20"/>
          <w:szCs w:val="20"/>
        </w:rPr>
        <w:t>.</w:t>
      </w:r>
    </w:p>
    <w:p w:rsidR="00F11CE7" w:rsidRPr="00CE70EF" w:rsidRDefault="00F11CE7" w:rsidP="00201D50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სამუშაოები შესრულებულად ჩაითვლება და შესაბამისი მიღება ჩაბარების აქტი გაფორმდება მხოლოდ   მეორადი სამშენებლო მასალების და სამშენებლო ნარჩენის ტერიტორიიდან გატანის შემთხვევაში;</w:t>
      </w:r>
    </w:p>
    <w:p w:rsidR="00F11CE7" w:rsidRPr="00CE70EF" w:rsidRDefault="00F11CE7" w:rsidP="00201D50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მიერ სამუშაოების შესრულების დადასტურება ხდება მიღება-ჩაბარების აქტისა და ფორმა N2-ის თანახმად, რომელსაც ამოწმებს </w:t>
      </w:r>
      <w:r w:rsidR="00CE70EF" w:rsidRP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სსიპ ,,ლევან სამხარაულის სახელობის სასამართლო ექსპერტიზის ეროვნული ბიურო“</w:t>
      </w:r>
      <w:r w:rsid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(ექსპერტიზის ხარჯები</w:t>
      </w:r>
      <w:r w:rsidR="003C560C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</w:t>
      </w:r>
      <w:r w:rsid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</w:t>
      </w:r>
      <w:r w:rsidR="003C560C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ანაზღაურება უნდა </w:t>
      </w:r>
      <w:r w:rsidR="00CE70EF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</w:t>
      </w:r>
      <w:r w:rsidR="003C560C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უზრუნველყოს </w:t>
      </w:r>
      <w:proofErr w:type="spellStart"/>
      <w:r w:rsidR="003C560C">
        <w:rPr>
          <w:rFonts w:ascii="Sylfaen" w:hAnsi="Sylfaen" w:cs="DejaVu Sans"/>
          <w:color w:val="000000" w:themeColor="text1"/>
          <w:sz w:val="20"/>
          <w:szCs w:val="20"/>
          <w:lang w:val="ka-GE"/>
        </w:rPr>
        <w:t>სადემონტაჟო</w:t>
      </w:r>
      <w:proofErr w:type="spellEnd"/>
      <w:r w:rsidR="003C560C">
        <w:rPr>
          <w:rFonts w:ascii="Sylfaen" w:hAnsi="Sylfaen" w:cs="DejaVu Sans"/>
          <w:color w:val="000000" w:themeColor="text1"/>
          <w:sz w:val="20"/>
          <w:szCs w:val="20"/>
          <w:lang w:val="ka-GE"/>
        </w:rPr>
        <w:t xml:space="preserve"> სამუშაოების შემსრულებელმა კომპანიამ).</w:t>
      </w:r>
    </w:p>
    <w:p w:rsidR="00F11CE7" w:rsidRPr="00CE70EF" w:rsidRDefault="00F11CE7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F11CE7" w:rsidRPr="00CE70EF" w:rsidRDefault="00F11CE7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8C4CEF" w:rsidRPr="00CE70EF" w:rsidRDefault="0074210D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 xml:space="preserve">9. </w:t>
      </w:r>
      <w:proofErr w:type="spellStart"/>
      <w:proofErr w:type="gram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ანგარიშსწორების</w:t>
      </w:r>
      <w:proofErr w:type="spellEnd"/>
      <w:proofErr w:type="gram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განხორციელების</w:t>
      </w:r>
      <w:proofErr w:type="spellEnd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proofErr w:type="spellStart"/>
      <w:r w:rsidR="008C4CEF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პირობები</w:t>
      </w:r>
      <w:proofErr w:type="spellEnd"/>
    </w:p>
    <w:p w:rsidR="00674336" w:rsidRPr="00CE70EF" w:rsidRDefault="008C4CEF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1. </w:t>
      </w: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ხელშეკრულების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ფარგლებში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იწარმოება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უნაღდო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ფორმით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ეროვნულ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ვალუტაში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რეკვიზიტებზე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</w:p>
    <w:p w:rsidR="008C4CEF" w:rsidRPr="00CE70EF" w:rsidRDefault="008C4CEF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2. </w:t>
      </w:r>
      <w:proofErr w:type="spellStart"/>
      <w:proofErr w:type="gram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ანგარიშსწორება</w:t>
      </w:r>
      <w:proofErr w:type="spellEnd"/>
      <w:proofErr w:type="gram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განხორციელდება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ხელშეკრულებით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სრულად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შემდგომ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მხარეებს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შორის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ფაქტობრივად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შესრულებულ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სამუშაოზე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გაფ</w:t>
      </w:r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ორმებული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ფორმა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N2-ის </w:t>
      </w:r>
      <w:proofErr w:type="spellStart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საფუძველზე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92515B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სსიპ ,,ლევან სამხარაულის სახელობის სასამართლო ექსპერტიზის ეროვნული ბიუროს“</w:t>
      </w:r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92515B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მიერ</w:t>
      </w:r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გაცემული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დასკვნის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შესაბამისად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,</w:t>
      </w:r>
      <w:r w:rsidR="00CC6809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საქართველოს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კანონმდებლობით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გათვალისწინებული</w:t>
      </w:r>
      <w:proofErr w:type="spellEnd"/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 სხვა</w:t>
      </w: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დოკუმენტების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დადასტურებიდან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და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r w:rsidR="00201D50"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 xml:space="preserve">საბოლოო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მიღება-ჩაბარების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აქტის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გაფორმებიდან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10 (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ათი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)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სამუშაო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დღის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განმავლობაში</w:t>
      </w:r>
      <w:proofErr w:type="spellEnd"/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</w:rPr>
        <w:t>.</w:t>
      </w:r>
    </w:p>
    <w:p w:rsidR="00201D50" w:rsidRPr="00CE70EF" w:rsidRDefault="00201D50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color w:val="000000" w:themeColor="text1"/>
          <w:sz w:val="20"/>
          <w:szCs w:val="20"/>
        </w:rPr>
      </w:pPr>
    </w:p>
    <w:p w:rsidR="00201D50" w:rsidRPr="00CE70EF" w:rsidRDefault="00201D50" w:rsidP="00201D50">
      <w:pPr>
        <w:shd w:val="clear" w:color="auto" w:fill="FFFFFF"/>
        <w:spacing w:after="0" w:line="276" w:lineRule="auto"/>
        <w:ind w:left="270" w:hanging="270"/>
        <w:jc w:val="both"/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10. სხვა დამატებითი პირობები</w:t>
      </w:r>
    </w:p>
    <w:p w:rsidR="00201D50" w:rsidRPr="00CE70EF" w:rsidRDefault="00201D50" w:rsidP="00FF31A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color w:val="000000" w:themeColor="text1"/>
          <w:sz w:val="20"/>
          <w:szCs w:val="20"/>
          <w:lang w:val="ka-GE"/>
        </w:rPr>
        <w:t>შემსყიდველი ორგანიზაცია  უფლებამოსილია, წინამდებარე ფასთა გამოკითხვის შედეგად შერჩეულ მონაწილესთან, მისი თანხმობის შემთხვევაში გააფორმოს ხელშეკრულება, უფრო დაბალი ფასით ვიდრე წარმოდგენილი ქონდა ფასთა გამოკითხვის დროს.</w:t>
      </w:r>
    </w:p>
    <w:p w:rsidR="00201D50" w:rsidRPr="00CE70EF" w:rsidRDefault="00201D50" w:rsidP="00FF31A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lastRenderedPageBreak/>
        <w:t xml:space="preserve">მონაწილე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</w:rPr>
        <w:t>პირის</w:t>
      </w:r>
      <w:proofErr w:type="spellEnd"/>
      <w:r w:rsidRPr="00CE70EF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</w:rPr>
        <w:t>ქონებაზე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ან/და საბანკო ანგარიშებზე არ უნდა იყოს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</w:rPr>
        <w:t>რეგისტრირებული</w:t>
      </w:r>
      <w:proofErr w:type="spellEnd"/>
      <w:r w:rsidRPr="00CE70EF">
        <w:rPr>
          <w:rFonts w:cs="Calibri"/>
          <w:color w:val="000000" w:themeColor="text1"/>
          <w:sz w:val="20"/>
          <w:szCs w:val="20"/>
        </w:rPr>
        <w:t xml:space="preserve"> 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</w:rPr>
        <w:t>სამართლებრივი</w:t>
      </w:r>
      <w:proofErr w:type="spellEnd"/>
      <w:r w:rsidRPr="00CE70EF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</w:rPr>
        <w:t>შეზღუდვა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lang w:val="ka-GE"/>
        </w:rPr>
        <w:t>.</w:t>
      </w:r>
      <w:r w:rsidRPr="00CE70EF">
        <w:rPr>
          <w:color w:val="000000" w:themeColor="text1"/>
          <w:sz w:val="20"/>
          <w:szCs w:val="20"/>
          <w:lang w:val="ka-GE"/>
        </w:rPr>
        <w:t xml:space="preserve"> </w:t>
      </w:r>
    </w:p>
    <w:p w:rsidR="00201D50" w:rsidRPr="00CE70EF" w:rsidRDefault="00201D50" w:rsidP="00201D50">
      <w:pPr>
        <w:pStyle w:val="ListParagraph"/>
        <w:spacing w:line="360" w:lineRule="auto"/>
        <w:ind w:left="284" w:hanging="284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CE70EF">
        <w:rPr>
          <w:rFonts w:ascii="Sylfaen" w:hAnsi="Sylfaen"/>
          <w:b/>
          <w:color w:val="000000" w:themeColor="text1"/>
          <w:sz w:val="20"/>
          <w:szCs w:val="20"/>
          <w:lang w:val="ka-GE"/>
        </w:rPr>
        <w:t>11. პრეტენდენტების მიერ წარმოსადგენი დოკუმენტაცია</w:t>
      </w:r>
    </w:p>
    <w:p w:rsidR="00201D50" w:rsidRPr="00CE70EF" w:rsidRDefault="00201D50" w:rsidP="00FF31AC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კ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ომპანიის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სრული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დასახელება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მისამართი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საკონტაქტო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ტელეფონები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E70E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446E04" w:rsidRPr="00CE70EF" w:rsidRDefault="00201D50" w:rsidP="00FF31AC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კომპანიის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მოღვაწეობის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მოკლე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გამოცდილება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);</w:t>
      </w:r>
    </w:p>
    <w:p w:rsidR="00446E04" w:rsidRPr="00CE70EF" w:rsidRDefault="00201D50" w:rsidP="00FF31AC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</w:rPr>
      </w:pP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შესასრულებელი სამუშაოების </w:t>
      </w:r>
      <w:proofErr w:type="spellStart"/>
      <w:r w:rsidR="00446E04"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ხარჯთაღრიცხვა</w:t>
      </w:r>
      <w:proofErr w:type="spellEnd"/>
      <w:r w:rsidR="00446E04"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;</w:t>
      </w:r>
    </w:p>
    <w:p w:rsidR="00201D50" w:rsidRPr="00CE70EF" w:rsidRDefault="00201D50" w:rsidP="00FF31AC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სადემონტაჟო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სამუშაოების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გრაფიკი</w:t>
      </w:r>
      <w:proofErr w:type="spellEnd"/>
      <w:r w:rsidR="00446E04"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.</w:t>
      </w:r>
    </w:p>
    <w:p w:rsidR="00446E04" w:rsidRPr="00CE70EF" w:rsidRDefault="00446E04" w:rsidP="00446E04">
      <w:pPr>
        <w:rPr>
          <w:b/>
          <w:color w:val="000000" w:themeColor="text1"/>
          <w:sz w:val="20"/>
          <w:szCs w:val="18"/>
        </w:rPr>
      </w:pPr>
    </w:p>
    <w:p w:rsidR="00446E04" w:rsidRPr="00CE70EF" w:rsidRDefault="00446E04" w:rsidP="00FF31AC">
      <w:pPr>
        <w:jc w:val="both"/>
        <w:rPr>
          <w:rFonts w:ascii="Sylfaen" w:hAnsi="Sylfaen"/>
          <w:b/>
          <w:color w:val="000000" w:themeColor="text1"/>
          <w:sz w:val="20"/>
          <w:szCs w:val="18"/>
          <w:lang w:val="ka-GE"/>
        </w:rPr>
      </w:pPr>
      <w:r w:rsidRPr="00CE70EF">
        <w:rPr>
          <w:rFonts w:ascii="Sylfaen" w:hAnsi="Sylfaen" w:cs="Sylfaen"/>
          <w:b/>
          <w:color w:val="000000" w:themeColor="text1"/>
          <w:sz w:val="20"/>
          <w:szCs w:val="18"/>
          <w:lang w:val="ka-GE"/>
        </w:rPr>
        <w:t>ფასთა გამოკითხვის შედეგად შერჩეულ</w:t>
      </w:r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პირს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,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ხელშეკრულების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გაფორმებამდე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შესაძლებელია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მოეთხოვოს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სხვა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დამატებითი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დოკუმენტების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წარმოდგენის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ვალდებულება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,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რაზეც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ეცნობებათ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დამატებით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და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განესაზღვრებათ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შესაბამისი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ვადა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. </w:t>
      </w:r>
      <w:proofErr w:type="spellStart"/>
      <w:proofErr w:type="gram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შემდეგი</w:t>
      </w:r>
      <w:proofErr w:type="spellEnd"/>
      <w:proofErr w:type="gram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დოკუმენტების</w:t>
      </w:r>
      <w:proofErr w:type="spellEnd"/>
      <w:r w:rsidRPr="00CE70EF">
        <w:rPr>
          <w:b/>
          <w:color w:val="000000" w:themeColor="text1"/>
          <w:sz w:val="20"/>
          <w:szCs w:val="18"/>
        </w:rPr>
        <w:t xml:space="preserve"> </w:t>
      </w:r>
      <w:proofErr w:type="spellStart"/>
      <w:r w:rsidRPr="00CE70EF">
        <w:rPr>
          <w:rFonts w:ascii="Sylfaen" w:hAnsi="Sylfaen" w:cs="Sylfaen"/>
          <w:b/>
          <w:color w:val="000000" w:themeColor="text1"/>
          <w:sz w:val="20"/>
          <w:szCs w:val="18"/>
        </w:rPr>
        <w:t>წარმოდგენა</w:t>
      </w:r>
      <w:proofErr w:type="spellEnd"/>
      <w:r w:rsidRPr="00CE70EF">
        <w:rPr>
          <w:b/>
          <w:color w:val="000000" w:themeColor="text1"/>
          <w:sz w:val="20"/>
          <w:szCs w:val="18"/>
        </w:rPr>
        <w:t>:</w:t>
      </w:r>
    </w:p>
    <w:p w:rsidR="00446E04" w:rsidRPr="00CE70EF" w:rsidRDefault="00446E04" w:rsidP="00446E04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ავანსის</w:t>
      </w:r>
      <w:proofErr w:type="spellEnd"/>
      <w:proofErr w:type="gram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მოთხოვნის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შემთხვევაში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>შემსყიდველისათვის</w:t>
      </w:r>
      <w:proofErr w:type="spellEnd"/>
      <w:r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მისაღები ბანკიდან/სადაზღვევო კომპანიიდან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საავანსო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თანხის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ღირებულების</w:t>
      </w:r>
      <w:proofErr w:type="spellEnd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უპირობო და </w:t>
      </w:r>
      <w:proofErr w:type="spellStart"/>
      <w:r w:rsidRPr="00CE70EF">
        <w:rPr>
          <w:rFonts w:ascii="Sylfaen" w:hAnsi="Sylfaen" w:cs="Arial"/>
          <w:color w:val="000000" w:themeColor="text1"/>
          <w:sz w:val="20"/>
          <w:szCs w:val="20"/>
          <w:bdr w:val="none" w:sz="0" w:space="0" w:color="auto" w:frame="1"/>
        </w:rPr>
        <w:t>გამოუხმობი</w:t>
      </w:r>
      <w:proofErr w:type="spellEnd"/>
      <w:r w:rsidRPr="00CE70EF">
        <w:rPr>
          <w:rStyle w:val="apple-converted-space"/>
          <w:rFonts w:ascii="Sylfaen" w:hAnsi="Sylfaen"/>
          <w:b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საბანკო გარანტია</w:t>
      </w:r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E70EF">
        <w:rPr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</w:rPr>
        <w:t>–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(საბანკო გარანტიი</w:t>
      </w:r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ს მოქმედების ვადა 1 (ერთი) თვით უნდა აღემატებოდეს სამუშაოების დასრულების ვადას</w:t>
      </w:r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)</w:t>
      </w:r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46E04" w:rsidRPr="00CE70EF" w:rsidRDefault="00446E04" w:rsidP="00446E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Style w:val="apple-converted-space"/>
          <w:color w:val="000000" w:themeColor="text1"/>
          <w:sz w:val="20"/>
          <w:szCs w:val="20"/>
        </w:rPr>
      </w:pPr>
      <w:r w:rsidRPr="00CE70E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ამონაწერი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მეწარმეთა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არასამეწარმეო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არაკომერციული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იურიდიულ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პირთა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რეესტრიდან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კომპანიის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რეგისტრაციის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და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საბანკო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რეკვიზიტები</w:t>
      </w:r>
      <w:proofErr w:type="spellEnd"/>
      <w:r w:rsidRPr="00CE70EF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>;</w:t>
      </w:r>
      <w:r w:rsidRPr="00CE70EF">
        <w:rPr>
          <w:rStyle w:val="apple-converted-space"/>
          <w:rFonts w:ascii="Sylfaen" w:hAnsi="Sylfaen"/>
          <w:color w:val="000000" w:themeColor="text1"/>
          <w:sz w:val="20"/>
          <w:szCs w:val="20"/>
          <w:shd w:val="clear" w:color="auto" w:fill="FFFFFF"/>
        </w:rPr>
        <w:t> </w:t>
      </w:r>
    </w:p>
    <w:p w:rsidR="00446E04" w:rsidRPr="00CE70EF" w:rsidRDefault="00446E04" w:rsidP="00446E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/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შესახებ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მეწარმეთა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და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იურიდიული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პირების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E70EF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CE70EF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;</w:t>
      </w:r>
    </w:p>
    <w:p w:rsidR="00446E04" w:rsidRPr="00CE70EF" w:rsidRDefault="00446E04" w:rsidP="00446E04">
      <w:pPr>
        <w:pStyle w:val="default"/>
        <w:numPr>
          <w:ilvl w:val="0"/>
          <w:numId w:val="9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color w:val="000000" w:themeColor="text1"/>
          <w:sz w:val="20"/>
          <w:szCs w:val="20"/>
        </w:rPr>
        <w:t>ცნობა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საჯარო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რეესტრის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ეროვნული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სააგენტოდან</w:t>
      </w:r>
      <w:proofErr w:type="spellEnd"/>
      <w:r w:rsidRPr="00CE70EF">
        <w:rPr>
          <w:color w:val="000000" w:themeColor="text1"/>
          <w:sz w:val="20"/>
          <w:szCs w:val="20"/>
        </w:rPr>
        <w:t xml:space="preserve">, </w:t>
      </w:r>
      <w:r w:rsidRPr="00CE70EF">
        <w:rPr>
          <w:color w:val="000000" w:themeColor="text1"/>
          <w:sz w:val="20"/>
          <w:szCs w:val="20"/>
          <w:lang w:val="ka-GE"/>
        </w:rPr>
        <w:t xml:space="preserve">რომ </w:t>
      </w:r>
      <w:proofErr w:type="spellStart"/>
      <w:r w:rsidRPr="00CE70EF">
        <w:rPr>
          <w:color w:val="000000" w:themeColor="text1"/>
          <w:sz w:val="20"/>
          <w:szCs w:val="20"/>
        </w:rPr>
        <w:t>იურიდიული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პირის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ქონებაზე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საჯარო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სამართლებრივი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შეზღუდვა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რეგისტრირებული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არის</w:t>
      </w:r>
      <w:proofErr w:type="spellEnd"/>
      <w:r w:rsidRPr="00CE70EF">
        <w:rPr>
          <w:color w:val="000000" w:themeColor="text1"/>
          <w:sz w:val="20"/>
          <w:szCs w:val="20"/>
          <w:lang w:val="ka-GE"/>
        </w:rPr>
        <w:t>;</w:t>
      </w:r>
    </w:p>
    <w:p w:rsidR="00446E04" w:rsidRPr="00CE70EF" w:rsidRDefault="00446E04" w:rsidP="00446E04">
      <w:pPr>
        <w:pStyle w:val="default"/>
        <w:numPr>
          <w:ilvl w:val="0"/>
          <w:numId w:val="9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CE70EF">
        <w:rPr>
          <w:color w:val="000000" w:themeColor="text1"/>
          <w:sz w:val="20"/>
          <w:szCs w:val="20"/>
        </w:rPr>
        <w:t>ცნობა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სასამართლოდან</w:t>
      </w:r>
      <w:proofErr w:type="spellEnd"/>
      <w:r w:rsidRPr="00CE70EF">
        <w:rPr>
          <w:color w:val="000000" w:themeColor="text1"/>
          <w:sz w:val="20"/>
          <w:szCs w:val="20"/>
        </w:rPr>
        <w:t xml:space="preserve">, </w:t>
      </w:r>
      <w:proofErr w:type="spellStart"/>
      <w:r w:rsidRPr="00CE70EF">
        <w:rPr>
          <w:color w:val="000000" w:themeColor="text1"/>
          <w:sz w:val="20"/>
          <w:szCs w:val="20"/>
        </w:rPr>
        <w:t>რომ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არ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მიმდინარეობს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მიმართ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გადახდისუუნარობის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საქმის</w:t>
      </w:r>
      <w:proofErr w:type="spellEnd"/>
      <w:r w:rsidRPr="00CE70EF">
        <w:rPr>
          <w:color w:val="000000" w:themeColor="text1"/>
          <w:sz w:val="20"/>
          <w:szCs w:val="20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</w:rPr>
        <w:t>წარმოება</w:t>
      </w:r>
      <w:proofErr w:type="spellEnd"/>
      <w:r w:rsidRPr="00CE70EF">
        <w:rPr>
          <w:color w:val="000000" w:themeColor="text1"/>
          <w:sz w:val="20"/>
          <w:szCs w:val="20"/>
          <w:lang w:val="ka-GE"/>
        </w:rPr>
        <w:t>;</w:t>
      </w:r>
    </w:p>
    <w:p w:rsidR="00446E04" w:rsidRPr="00CE70EF" w:rsidRDefault="00446E04" w:rsidP="00446E04">
      <w:pPr>
        <w:pStyle w:val="default"/>
        <w:numPr>
          <w:ilvl w:val="0"/>
          <w:numId w:val="9"/>
        </w:numPr>
        <w:spacing w:after="25" w:line="276" w:lineRule="auto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CE70EF">
        <w:rPr>
          <w:color w:val="000000" w:themeColor="text1"/>
          <w:sz w:val="20"/>
          <w:szCs w:val="20"/>
          <w:shd w:val="clear" w:color="auto" w:fill="FFFFFF"/>
        </w:rPr>
        <w:t>ცნობა</w:t>
      </w:r>
      <w:proofErr w:type="spellEnd"/>
      <w:proofErr w:type="gram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საგადასახადო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სამსახურიდან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დავალიანების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არარსებობის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E70EF">
        <w:rPr>
          <w:color w:val="000000" w:themeColor="text1"/>
          <w:sz w:val="20"/>
          <w:szCs w:val="20"/>
          <w:shd w:val="clear" w:color="auto" w:fill="FFFFFF"/>
        </w:rPr>
        <w:t>შესახებ</w:t>
      </w:r>
      <w:proofErr w:type="spellEnd"/>
      <w:r w:rsidRPr="00CE70EF">
        <w:rPr>
          <w:color w:val="000000" w:themeColor="text1"/>
          <w:sz w:val="20"/>
          <w:szCs w:val="20"/>
          <w:shd w:val="clear" w:color="auto" w:fill="FFFFFF"/>
          <w:lang w:val="ka-GE"/>
        </w:rPr>
        <w:t xml:space="preserve">. </w:t>
      </w:r>
    </w:p>
    <w:p w:rsidR="00201D50" w:rsidRPr="00CE70EF" w:rsidRDefault="00201D50" w:rsidP="00201D50">
      <w:pPr>
        <w:spacing w:line="276" w:lineRule="auto"/>
        <w:ind w:left="270" w:hanging="270"/>
        <w:rPr>
          <w:rFonts w:ascii="Sylfaen" w:hAnsi="Sylfaen" w:cs="Sylfaen"/>
          <w:b/>
          <w:color w:val="000000" w:themeColor="text1"/>
          <w:sz w:val="20"/>
          <w:szCs w:val="20"/>
        </w:rPr>
      </w:pPr>
    </w:p>
    <w:p w:rsidR="00CC6809" w:rsidRPr="00CE70EF" w:rsidRDefault="00201D50" w:rsidP="00201D50">
      <w:pPr>
        <w:spacing w:line="276" w:lineRule="auto"/>
        <w:ind w:left="270" w:hanging="270"/>
        <w:rPr>
          <w:b/>
          <w:color w:val="000000" w:themeColor="text1"/>
          <w:sz w:val="20"/>
          <w:szCs w:val="20"/>
        </w:rPr>
      </w:pPr>
      <w:r w:rsidRPr="00CE70EF">
        <w:rPr>
          <w:rFonts w:ascii="Sylfaen" w:hAnsi="Sylfaen" w:cs="Sylfaen"/>
          <w:b/>
          <w:color w:val="000000" w:themeColor="text1"/>
          <w:sz w:val="20"/>
          <w:szCs w:val="20"/>
        </w:rPr>
        <w:t>12</w:t>
      </w:r>
      <w:r w:rsidR="0074210D" w:rsidRPr="00CE70EF">
        <w:rPr>
          <w:rFonts w:ascii="Sylfaen" w:hAnsi="Sylfaen" w:cs="Sylfaen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CC6809" w:rsidRPr="00CE70EF">
        <w:rPr>
          <w:rFonts w:ascii="Sylfaen" w:hAnsi="Sylfaen" w:cs="Sylfaen"/>
          <w:b/>
          <w:color w:val="000000" w:themeColor="text1"/>
          <w:sz w:val="20"/>
          <w:szCs w:val="20"/>
        </w:rPr>
        <w:t>ფასთა</w:t>
      </w:r>
      <w:proofErr w:type="spellEnd"/>
      <w:proofErr w:type="gramEnd"/>
      <w:r w:rsidR="00CC6809" w:rsidRPr="00CE70E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C6809" w:rsidRPr="00CE70EF">
        <w:rPr>
          <w:rFonts w:ascii="Sylfaen" w:hAnsi="Sylfaen" w:cs="Sylfaen"/>
          <w:b/>
          <w:color w:val="000000" w:themeColor="text1"/>
          <w:sz w:val="20"/>
          <w:szCs w:val="20"/>
        </w:rPr>
        <w:t>გამოკითხვის</w:t>
      </w:r>
      <w:proofErr w:type="spellEnd"/>
      <w:r w:rsidR="00CC6809" w:rsidRPr="00CE70EF">
        <w:rPr>
          <w:b/>
          <w:color w:val="000000" w:themeColor="text1"/>
          <w:sz w:val="20"/>
          <w:szCs w:val="20"/>
        </w:rPr>
        <w:t> </w:t>
      </w:r>
      <w:proofErr w:type="spellStart"/>
      <w:r w:rsidR="00CC6809" w:rsidRPr="00CE70EF">
        <w:rPr>
          <w:rFonts w:ascii="Sylfaen" w:hAnsi="Sylfaen" w:cs="Sylfaen"/>
          <w:b/>
          <w:color w:val="000000" w:themeColor="text1"/>
          <w:sz w:val="20"/>
          <w:szCs w:val="20"/>
        </w:rPr>
        <w:t>ჩაბარების</w:t>
      </w:r>
      <w:proofErr w:type="spellEnd"/>
      <w:r w:rsidR="00CC6809" w:rsidRPr="00CE70E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C6809" w:rsidRPr="00CE70EF">
        <w:rPr>
          <w:rFonts w:ascii="Sylfaen" w:hAnsi="Sylfaen" w:cs="Sylfaen"/>
          <w:b/>
          <w:color w:val="000000" w:themeColor="text1"/>
          <w:sz w:val="20"/>
          <w:szCs w:val="20"/>
        </w:rPr>
        <w:t>პირობები</w:t>
      </w:r>
      <w:proofErr w:type="spellEnd"/>
      <w:r w:rsidR="00CC6809" w:rsidRPr="00CE70EF">
        <w:rPr>
          <w:b/>
          <w:color w:val="000000" w:themeColor="text1"/>
          <w:sz w:val="20"/>
          <w:szCs w:val="20"/>
        </w:rPr>
        <w:t>:</w:t>
      </w:r>
    </w:p>
    <w:p w:rsidR="00CC6809" w:rsidRPr="00CE70EF" w:rsidRDefault="00CC6809" w:rsidP="00201D50">
      <w:pPr>
        <w:shd w:val="clear" w:color="auto" w:fill="FFFFFF"/>
        <w:spacing w:after="272" w:line="276" w:lineRule="auto"/>
        <w:jc w:val="both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იყოს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ქართულ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ენაზე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ბეჭდური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დ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ალუქულ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კონვერტში, 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მისამართზე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ქ.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თბილისი,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372A8"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კოსტავას ქ.N70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კონვერტს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გარედან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ეწეროს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ფასთა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პირებმა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Pr="00CE70EF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 xml:space="preserve"> 2020 </w:t>
      </w:r>
      <w:r w:rsidRPr="00CE70EF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წლის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3C560C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  <w:lang w:val="ka-GE"/>
        </w:rPr>
        <w:t>7</w:t>
      </w:r>
      <w:r w:rsidR="0074210D" w:rsidRPr="00CE70EF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3C560C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  <w:lang w:val="ka-GE"/>
        </w:rPr>
        <w:t>დეკემბრისა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FF31AC" w:rsidRPr="00CE70EF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  <w:lang w:val="ka-GE"/>
        </w:rPr>
        <w:t>18:00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CE70EF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სთ</w:t>
      </w:r>
      <w:r w:rsidRPr="00CE70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ka-GE"/>
        </w:rPr>
        <w:t>-</w:t>
      </w:r>
      <w:r w:rsidRPr="00CE70EF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მდე</w:t>
      </w:r>
      <w:r w:rsidR="00201D50" w:rsidRPr="00CE70EF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.</w:t>
      </w:r>
    </w:p>
    <w:p w:rsidR="0074210D" w:rsidRPr="00CE70EF" w:rsidRDefault="00CC6809" w:rsidP="00FF31AC">
      <w:pPr>
        <w:shd w:val="clear" w:color="auto" w:fill="FFFFFF"/>
        <w:spacing w:after="272" w:line="276" w:lineRule="auto"/>
        <w:ind w:left="270" w:hanging="270"/>
        <w:jc w:val="center"/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74210D" w:rsidRPr="00CE70EF" w:rsidRDefault="00CC6809" w:rsidP="00201D50">
      <w:pPr>
        <w:shd w:val="clear" w:color="auto" w:fill="FFFFFF"/>
        <w:spacing w:after="272" w:line="276" w:lineRule="auto"/>
        <w:ind w:left="270" w:hanging="270"/>
        <w:jc w:val="both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>საკონტაქტო</w:t>
      </w:r>
      <w:proofErr w:type="spellEnd"/>
      <w:proofErr w:type="gramEnd"/>
      <w:r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</w:rPr>
        <w:t xml:space="preserve"> </w:t>
      </w:r>
      <w:r w:rsidR="0074210D" w:rsidRPr="00CE70EF">
        <w:rPr>
          <w:rFonts w:ascii="Sylfaen" w:eastAsia="Times New Roman" w:hAnsi="Sylfaen" w:cs="DejaVu Sans"/>
          <w:b/>
          <w:color w:val="000000" w:themeColor="text1"/>
          <w:sz w:val="20"/>
          <w:szCs w:val="20"/>
          <w:lang w:val="ka-GE"/>
        </w:rPr>
        <w:t>პირი</w:t>
      </w:r>
    </w:p>
    <w:p w:rsidR="008C4CEF" w:rsidRPr="00CE70EF" w:rsidRDefault="008372A8" w:rsidP="00201D50">
      <w:pPr>
        <w:shd w:val="clear" w:color="auto" w:fill="FFFFFF"/>
        <w:spacing w:after="100" w:afterAutospacing="1" w:line="276" w:lineRule="auto"/>
        <w:ind w:left="270" w:right="480" w:hanging="270"/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</w:pPr>
      <w:r w:rsidRPr="00CE70EF">
        <w:rPr>
          <w:rFonts w:ascii="Sylfaen" w:eastAsia="Times New Roman" w:hAnsi="Sylfaen" w:cs="DejaVu Sans"/>
          <w:color w:val="000000" w:themeColor="text1"/>
          <w:sz w:val="20"/>
          <w:szCs w:val="20"/>
          <w:lang w:val="ka-GE"/>
        </w:rPr>
        <w:t>ვანო მეფარიშვილი 593795510</w:t>
      </w:r>
    </w:p>
    <w:p w:rsidR="002C5B1D" w:rsidRPr="00CE70EF" w:rsidRDefault="002C5B1D" w:rsidP="00201D50">
      <w:pPr>
        <w:tabs>
          <w:tab w:val="left" w:pos="10170"/>
        </w:tabs>
        <w:spacing w:line="276" w:lineRule="auto"/>
        <w:ind w:left="270" w:hanging="270"/>
        <w:rPr>
          <w:rFonts w:ascii="Sylfaen" w:hAnsi="Sylfaen"/>
          <w:color w:val="000000" w:themeColor="text1"/>
          <w:sz w:val="20"/>
          <w:szCs w:val="20"/>
        </w:rPr>
      </w:pPr>
    </w:p>
    <w:sectPr w:rsidR="002C5B1D" w:rsidRPr="00CE70EF" w:rsidSect="0074210D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6BE"/>
    <w:multiLevelType w:val="hybridMultilevel"/>
    <w:tmpl w:val="6512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1A9"/>
    <w:multiLevelType w:val="hybridMultilevel"/>
    <w:tmpl w:val="082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53D52"/>
    <w:multiLevelType w:val="hybridMultilevel"/>
    <w:tmpl w:val="7FF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555B"/>
    <w:multiLevelType w:val="hybridMultilevel"/>
    <w:tmpl w:val="BB5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260046"/>
    <w:multiLevelType w:val="hybridMultilevel"/>
    <w:tmpl w:val="E3FA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80ED4"/>
    <w:multiLevelType w:val="hybridMultilevel"/>
    <w:tmpl w:val="218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F0D"/>
    <w:multiLevelType w:val="hybridMultilevel"/>
    <w:tmpl w:val="9C7A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C"/>
    <w:rsid w:val="00201D50"/>
    <w:rsid w:val="002C5B1D"/>
    <w:rsid w:val="003C560C"/>
    <w:rsid w:val="00446E04"/>
    <w:rsid w:val="00674336"/>
    <w:rsid w:val="00731E2F"/>
    <w:rsid w:val="0074210D"/>
    <w:rsid w:val="008372A8"/>
    <w:rsid w:val="0087170E"/>
    <w:rsid w:val="008C4CEF"/>
    <w:rsid w:val="0092515B"/>
    <w:rsid w:val="00A4059C"/>
    <w:rsid w:val="00CC6809"/>
    <w:rsid w:val="00CE70EF"/>
    <w:rsid w:val="00EC5939"/>
    <w:rsid w:val="00F11CE7"/>
    <w:rsid w:val="00F94B5A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F1EE"/>
  <w15:chartTrackingRefBased/>
  <w15:docId w15:val="{D5DE0B13-91D3-4421-881B-78A2066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1">
    <w:name w:val="color-1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EF"/>
    <w:rPr>
      <w:b/>
      <w:bCs/>
    </w:rPr>
  </w:style>
  <w:style w:type="paragraph" w:customStyle="1" w:styleId="q">
    <w:name w:val="q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11C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201D50"/>
    <w:rPr>
      <w:rFonts w:cs="Times New Roman"/>
    </w:rPr>
  </w:style>
  <w:style w:type="paragraph" w:customStyle="1" w:styleId="default">
    <w:name w:val="default"/>
    <w:basedOn w:val="Normal"/>
    <w:uiPriority w:val="99"/>
    <w:rsid w:val="00446E04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67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591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2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952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583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Tamar Japhiashvili</cp:lastModifiedBy>
  <cp:revision>5</cp:revision>
  <cp:lastPrinted>2020-09-29T06:30:00Z</cp:lastPrinted>
  <dcterms:created xsi:type="dcterms:W3CDTF">2020-11-18T07:44:00Z</dcterms:created>
  <dcterms:modified xsi:type="dcterms:W3CDTF">2020-11-30T11:33:00Z</dcterms:modified>
</cp:coreProperties>
</file>